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</w:p>
    <w:p>
      <w:pPr>
        <w:pStyle w:val="5"/>
        <w:spacing w:line="560" w:lineRule="exact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</w:p>
    <w:p>
      <w:pPr>
        <w:pStyle w:val="5"/>
        <w:spacing w:line="560" w:lineRule="exact"/>
        <w:jc w:val="center"/>
        <w:rPr>
          <w:rFonts w:ascii="Times New Roman" w:eastAsia="方正博雅宋_GBK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中国名村志丛书凡例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一、以马克思列宁主义、毛泽东思想、邓小平理论、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“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三个代表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重要思想、科学发展观、习近平新时代中国特色社会主义思想为指导，坚持辩证唯物主义和历史唯物主义的立场、观点和方法，存真求实，全面、客观、系统记述中国名村村落发展变化进程和改革开放成果，</w:t>
      </w:r>
      <w:r>
        <w:rPr>
          <w:rFonts w:ascii="Times New Roman" w:eastAsia="仿宋_GB2312" w:cs="Times New Roman"/>
          <w:color w:val="auto"/>
          <w:sz w:val="32"/>
          <w:szCs w:val="32"/>
        </w:rPr>
        <w:t>反映小康社会建设过程，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传承和抢救乡土历史文化，激发爱国爱乡情怀，留住乡愁，为服务乡村振兴战略提供历史智慧和现实借鉴。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二、为全面反映入志事物发展脉络，各志上限尽量追溯至事物发端，下限一般断至各志启动编修年份，个别重大事项可延至搁笔。详今明古，着重反映时代特色和地方特点，重点体现各村的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“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名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与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“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特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三、记述地域范围以下限年份的行政辖区为主。为体现名村在更大区域内的意义，可以从更开阔的区域视野记述与该村相关的内容。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四、统一采用纲目体，设类目、分目、条目三个层次。横排门类，纵述史实，述而不论。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五、综合运用述、记、志、传、图、表、录等体裁，以志体为主。体裁运用适当创新，篇目设置不求面面俱到。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六、除引用文字和附录文献资料外，统一使用规范的现代语体文记述，文字朴实、严谨、简洁、流畅、优美，可读性强。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七、人物部类遵循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“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生不立传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原则，人物传主按生年排序，只选录对本村发展有重大影响的人物，不面面俱到。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八、各项数据一般采用国家统计部门数据。数据缺乏的，采用主管部门或主办单位正式提供的数据。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九、</w:t>
      </w:r>
      <w:r>
        <w:rPr>
          <w:rFonts w:hint="default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数字用法、标点符号分别采用国家标准《出版物上数字用法》（GB/T 15835-2011）、《标点符号用法》（GB/T 15834-2011），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计量单位采用国家技术监督局1993年12月发布的《量和单位》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系列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国家标准。</w:t>
      </w:r>
      <w:r>
        <w:rPr>
          <w:rFonts w:hint="default" w:ascii="Times New Roman" w:hAnsi="Times New Roman" w:eastAsia="仿宋_GB2312" w:cs="Times New Roman"/>
          <w:color w:val="auto"/>
          <w:w w:val="100"/>
          <w:kern w:val="2"/>
          <w:sz w:val="32"/>
          <w:szCs w:val="32"/>
          <w:lang w:val="en-US"/>
        </w:rPr>
        <w:t>历史上使用的计量单位，如斗、石、里、尺、磅、华氏度等，在引文时可照录。考虑到社会使用习惯，全书中亩不统一换算。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十、中华民国成立前的纪年，使用朝代年号纪年，括注公元年份；中华民国成立后的纪年，均使用公元纪年。志中所称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解放前（后）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，以该村解放日为界；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中华人民共和国成立前（后）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，以中华人民共和国成立日1949年10月1日为界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改革开放前（后）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，以1978年12月中共十一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/>
        </w:rPr>
        <w:t>届三中全会召开为界。</w:t>
      </w:r>
      <w:r>
        <w:rPr>
          <w:rFonts w:ascii="Times New Roman" w:eastAsia="仿宋_GB2312" w:cs="Times New Roman"/>
          <w:color w:val="auto"/>
          <w:kern w:val="2"/>
          <w:sz w:val="32"/>
          <w:szCs w:val="32"/>
          <w:lang w:val="en-US"/>
        </w:rPr>
        <w:t>本志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××</w:t>
      </w:r>
      <w:r>
        <w:rPr>
          <w:rFonts w:ascii="Times New Roman" w:eastAsia="仿宋_GB2312" w:cs="Times New Roman"/>
          <w:color w:val="auto"/>
          <w:kern w:val="2"/>
          <w:sz w:val="32"/>
          <w:szCs w:val="32"/>
          <w:lang w:val="en-US"/>
        </w:rPr>
        <w:t>年代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kern w:val="2"/>
          <w:sz w:val="32"/>
          <w:szCs w:val="32"/>
          <w:lang w:val="en-US"/>
        </w:rPr>
        <w:t>，凡未加世纪者，均指20世纪。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十一、为节省篇幅，避免重复，本志采用条目互见法。参见条目的表示形式为：参见本志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××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类目·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××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分目·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××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条目</w:t>
      </w:r>
      <w:r>
        <w:rPr>
          <w:rFonts w:hint="eastAsia" w:ascii="Times New Roman" w:eastAsia="仿宋_GB2312" w:cs="Times New Roman"/>
          <w:color w:val="auto"/>
          <w:sz w:val="32"/>
          <w:szCs w:val="32"/>
          <w:lang w:val="en-US"/>
        </w:rPr>
        <w:t>”</w:t>
      </w: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十二、对旧志、古籍中的繁体字、冷僻字一般用简化字或通用字替换，易引起误解的则保留。</w:t>
      </w:r>
    </w:p>
    <w:p>
      <w:pPr>
        <w:pStyle w:val="6"/>
        <w:spacing w:line="560" w:lineRule="exact"/>
        <w:ind w:firstLine="640" w:firstLineChars="200"/>
        <w:rPr>
          <w:rFonts w:asci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十三、记述各个历史时期的党派、机构、职务、地名等，均以当时的名称为准。对频繁使用的名称，首次用全称并括注简称，其后用简称。</w:t>
      </w:r>
    </w:p>
    <w:p>
      <w:pPr>
        <w:pStyle w:val="6"/>
        <w:spacing w:line="560" w:lineRule="exact"/>
        <w:ind w:firstLine="640" w:firstLineChars="200"/>
        <w:rPr>
          <w:rFonts w:ascii="Times New Roman" w:eastAsia="仿宋" w:cs="Times New Roman"/>
          <w:color w:val="auto"/>
          <w:spacing w:val="4"/>
          <w:sz w:val="32"/>
          <w:szCs w:val="32"/>
        </w:rPr>
      </w:pPr>
      <w:r>
        <w:rPr>
          <w:rFonts w:ascii="Times New Roman" w:eastAsia="仿宋_GB2312" w:cs="Times New Roman"/>
          <w:color w:val="auto"/>
          <w:sz w:val="32"/>
          <w:szCs w:val="32"/>
          <w:lang w:val="en-US"/>
        </w:rPr>
        <w:t>十四、各村志需要单独说明的事项，均在各自编后记中记述。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博雅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86744"/>
    <w:rsid w:val="535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  <w:style w:type="paragraph" w:customStyle="1" w:styleId="5">
    <w:name w:val="二级标题"/>
    <w:basedOn w:val="1"/>
    <w:qFormat/>
    <w:uiPriority w:val="99"/>
    <w:pPr>
      <w:autoSpaceDE w:val="0"/>
      <w:autoSpaceDN w:val="0"/>
      <w:adjustRightInd w:val="0"/>
      <w:spacing w:line="386" w:lineRule="atLeast"/>
      <w:textAlignment w:val="center"/>
    </w:pPr>
    <w:rPr>
      <w:rFonts w:ascii="方正兰亭中黑_GBK" w:eastAsia="方正兰亭中黑_GBK" w:cs="方正兰亭中黑_GBK"/>
      <w:color w:val="A7171D"/>
      <w:kern w:val="0"/>
      <w:sz w:val="32"/>
      <w:szCs w:val="32"/>
      <w:lang w:val="zh-CN"/>
    </w:rPr>
  </w:style>
  <w:style w:type="paragraph" w:customStyle="1" w:styleId="6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2022-02-18T07:02:00Z</dcterms:created>
  <dc:creator>w11i11wwwh163com</dc:creator>
  <cp:lastModifiedBy>w11i11wwwh163com</cp:lastModifiedBy>
  <dcterms:modified xsi:type="dcterms:W3CDTF">2022-02-18T07:03:45Z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9340D9EE093141ADA1B6BFC1F5B999BB</vt:lpwstr>
  </property>
</Properties>
</file>